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0" w:firstLine="0"/>
        <w:jc w:val="center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  <w:t xml:space="preserve">Klasa IV 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ksi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ążkę pt. ”Dynastia Miziołk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ów”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powtórz wiadomo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ści o poznanych częściach  mowy i częściach zdania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uzupe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łnij zeszyt ćwiczeń kl. 4 cz.1      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utrwal dodawanie, odejmowanie, mno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żenie i dzielenie pisemne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powtórz rozdzia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ł People,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uzupe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łnij braki w zeszytach ćwiczeń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uzupełnij ćwiczenia z historii,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określanie wiek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przyroda: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ykonaj prezentacj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pt.: Las i jego zwierzęta według kryteri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ów, które masz w zeszytach (zdj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ęcia pobierz z Internetu). Dodaj sz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ósty slajd zatytu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łowany bibliografia a w nim umieścić linki stron, z kt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órych pobra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łeś zdjęcia.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Musette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sobie jak wygl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ąda klucz wiolinowy i ćwiczy rysowanie (w zeszycie).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-Módl 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za siebie, za całą społeczność szkolną, za chorych oraz za wszystkich zalęknionych i przerażonych obecną sytuacją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  <w:t xml:space="preserve">dodatkowo dla klas sportowych: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dziewcz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ęta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 1 fitness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łopcy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śledźcie stronę na Facebooku UKS 5, będą tam dla Was filmiki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